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BE0CE02" w14:textId="33A1C4B1" w:rsidR="0020742D" w:rsidRDefault="00000000" w:rsidP="00C80956">
      <w:pPr>
        <w:pStyle w:val="Heading1"/>
        <w:spacing w:after="0" w:line="360" w:lineRule="auto"/>
      </w:pPr>
      <w:r>
        <w:t>M4</w:t>
      </w:r>
      <w:r w:rsidR="00C80956">
        <w:t xml:space="preserve">L20. </w:t>
      </w:r>
      <w:r w:rsidR="00C80956" w:rsidRPr="00C80956">
        <w:t>Biodiesel Business Case with Utility Function</w:t>
      </w:r>
    </w:p>
    <w:p w14:paraId="02E9EB2E" w14:textId="77777777" w:rsidR="00C80956" w:rsidRDefault="00C80956" w:rsidP="00C80956">
      <w:pPr>
        <w:pStyle w:val="Script"/>
        <w:spacing w:before="120" w:after="0" w:line="360" w:lineRule="auto"/>
        <w:rPr>
          <w:rFonts w:ascii="Open Sans" w:hAnsi="Open Sans" w:cs="Open Sans"/>
          <w:sz w:val="24"/>
          <w:szCs w:val="24"/>
        </w:rPr>
      </w:pPr>
    </w:p>
    <w:p w14:paraId="28CB768E" w14:textId="3E3ACB53" w:rsidR="00C80956" w:rsidRDefault="00C80956" w:rsidP="00C80956">
      <w:pPr>
        <w:pStyle w:val="Heading2"/>
        <w:spacing w:before="120" w:line="360" w:lineRule="auto"/>
      </w:pPr>
      <w:r>
        <w:t>Slide #1</w:t>
      </w:r>
      <w:r>
        <w:rPr>
          <w:noProof/>
        </w:rPr>
        <w:drawing>
          <wp:inline distT="0" distB="0" distL="0" distR="0" wp14:anchorId="3C96ABAC" wp14:editId="6188A145">
            <wp:extent cx="5731510" cy="3206115"/>
            <wp:effectExtent l="0" t="0" r="2540" b="0"/>
            <wp:docPr id="1368017097" name="Picture 1" descr="Biodiesel Business Case with Utility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7097" name="Picture 1" descr="Biodiesel Business Case with Utility Function"/>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4EA5D183" w14:textId="78F49680" w:rsid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Let us revisit the biodiesel decision case and discuss how to incorporate the utility function into the decision-making process.</w:t>
      </w:r>
    </w:p>
    <w:p w14:paraId="62AFD55F" w14:textId="5821212E" w:rsidR="00C80956" w:rsidRDefault="00C80956" w:rsidP="00C80956">
      <w:pPr>
        <w:pStyle w:val="Heading2"/>
        <w:spacing w:before="120" w:line="360" w:lineRule="auto"/>
      </w:pPr>
      <w:r>
        <w:lastRenderedPageBreak/>
        <w:t>Slide #2</w:t>
      </w:r>
      <w:r>
        <w:rPr>
          <w:noProof/>
        </w:rPr>
        <w:drawing>
          <wp:inline distT="0" distB="0" distL="0" distR="0" wp14:anchorId="791BB4D9" wp14:editId="2248E512">
            <wp:extent cx="5731510" cy="3222625"/>
            <wp:effectExtent l="0" t="0" r="2540" b="0"/>
            <wp:docPr id="1970771189" name="Picture 2" descr="Texas-based biodiesel company with annual revenue of $50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1189" name="Picture 2" descr="Texas-based biodiesel company with annual revenue of $500M"/>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C0062A4" w14:textId="77777777" w:rsid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The case showed that the company has a revenue of 500 million</w:t>
      </w:r>
      <w:r>
        <w:rPr>
          <w:rFonts w:ascii="Open Sans" w:hAnsi="Open Sans" w:cs="Open Sans"/>
          <w:sz w:val="24"/>
          <w:szCs w:val="24"/>
        </w:rPr>
        <w:t xml:space="preserve"> dollars</w:t>
      </w:r>
      <w:r w:rsidRPr="00C80956">
        <w:rPr>
          <w:rFonts w:ascii="Open Sans" w:hAnsi="Open Sans" w:cs="Open Sans"/>
          <w:sz w:val="24"/>
          <w:szCs w:val="24"/>
        </w:rPr>
        <w:t xml:space="preserve">. </w:t>
      </w:r>
    </w:p>
    <w:p w14:paraId="3A10503E" w14:textId="2B259636" w:rsid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So with this piece of information, we should be able to estimate the risk tolerance parameter of the company.</w:t>
      </w:r>
    </w:p>
    <w:p w14:paraId="2CB7B56F" w14:textId="77777777" w:rsidR="00C80956" w:rsidRPr="00C80956" w:rsidRDefault="00C80956" w:rsidP="00C80956">
      <w:pPr>
        <w:pStyle w:val="Script"/>
        <w:spacing w:before="120" w:after="0" w:line="360" w:lineRule="auto"/>
        <w:rPr>
          <w:rFonts w:ascii="Open Sans" w:hAnsi="Open Sans" w:cs="Open Sans"/>
          <w:sz w:val="24"/>
          <w:szCs w:val="24"/>
        </w:rPr>
      </w:pPr>
    </w:p>
    <w:p w14:paraId="34F6D628" w14:textId="77777777" w:rsidR="00C80956" w:rsidRDefault="00C80956" w:rsidP="00C80956">
      <w:pPr>
        <w:pStyle w:val="Script"/>
        <w:spacing w:before="120" w:after="0" w:line="360" w:lineRule="auto"/>
        <w:rPr>
          <w:rFonts w:ascii="Open Sans" w:hAnsi="Open Sans" w:cs="Open Sans"/>
          <w:sz w:val="24"/>
          <w:szCs w:val="24"/>
        </w:rPr>
      </w:pPr>
    </w:p>
    <w:p w14:paraId="35A4F0A8" w14:textId="4974451A" w:rsidR="00C80956" w:rsidRDefault="00C80956" w:rsidP="00C80956">
      <w:pPr>
        <w:pStyle w:val="Heading2"/>
        <w:spacing w:before="120" w:line="360" w:lineRule="auto"/>
      </w:pPr>
      <w:r>
        <w:lastRenderedPageBreak/>
        <w:t>Slide #3</w:t>
      </w:r>
      <w:r>
        <w:rPr>
          <w:noProof/>
        </w:rPr>
        <w:drawing>
          <wp:inline distT="0" distB="0" distL="0" distR="0" wp14:anchorId="073BD064" wp14:editId="0D236791">
            <wp:extent cx="5731510" cy="3210560"/>
            <wp:effectExtent l="0" t="0" r="2540" b="8890"/>
            <wp:docPr id="1735706466" name="Picture 3" descr="Assume decision m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6466" name="Picture 3" descr="Assume decision maker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015C14D0" w14:textId="5097F923" w:rsid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The chart is the decision tree that we built for the company's two decisions, or two options. The </w:t>
      </w:r>
      <w:r>
        <w:rPr>
          <w:rFonts w:ascii="Open Sans" w:hAnsi="Open Sans" w:cs="Open Sans"/>
          <w:sz w:val="24"/>
          <w:szCs w:val="24"/>
        </w:rPr>
        <w:t>r</w:t>
      </w:r>
      <w:r w:rsidRPr="00C80956">
        <w:rPr>
          <w:rFonts w:ascii="Open Sans" w:hAnsi="Open Sans" w:cs="Open Sans"/>
          <w:sz w:val="24"/>
          <w:szCs w:val="24"/>
        </w:rPr>
        <w:t xml:space="preserve">enewable </w:t>
      </w:r>
      <w:r>
        <w:rPr>
          <w:rFonts w:ascii="Open Sans" w:hAnsi="Open Sans" w:cs="Open Sans"/>
          <w:sz w:val="24"/>
          <w:szCs w:val="24"/>
        </w:rPr>
        <w:t>e</w:t>
      </w:r>
      <w:r w:rsidRPr="00C80956">
        <w:rPr>
          <w:rFonts w:ascii="Open Sans" w:hAnsi="Open Sans" w:cs="Open Sans"/>
          <w:sz w:val="24"/>
          <w:szCs w:val="24"/>
        </w:rPr>
        <w:t xml:space="preserve">nergy </w:t>
      </w:r>
      <w:r>
        <w:rPr>
          <w:rFonts w:ascii="Open Sans" w:hAnsi="Open Sans" w:cs="Open Sans"/>
          <w:sz w:val="24"/>
          <w:szCs w:val="24"/>
        </w:rPr>
        <w:t>c</w:t>
      </w:r>
      <w:r w:rsidRPr="00C80956">
        <w:rPr>
          <w:rFonts w:ascii="Open Sans" w:hAnsi="Open Sans" w:cs="Open Sans"/>
          <w:sz w:val="24"/>
          <w:szCs w:val="24"/>
        </w:rPr>
        <w:t xml:space="preserve">ompany's evaluation of two investment options for new production plants. </w:t>
      </w:r>
    </w:p>
    <w:p w14:paraId="409C759A" w14:textId="2AA97608" w:rsidR="00C80956" w:rsidRP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Option one, build a plant with innovative solutions optimized for minimum biodiesel production cost</w:t>
      </w:r>
      <w:r>
        <w:rPr>
          <w:rFonts w:ascii="Open Sans" w:hAnsi="Open Sans" w:cs="Open Sans"/>
          <w:sz w:val="24"/>
          <w:szCs w:val="24"/>
        </w:rPr>
        <w:t>, c</w:t>
      </w:r>
      <w:r w:rsidRPr="00C80956">
        <w:rPr>
          <w:rFonts w:ascii="Open Sans" w:hAnsi="Open Sans" w:cs="Open Sans"/>
          <w:sz w:val="24"/>
          <w:szCs w:val="24"/>
        </w:rPr>
        <w:t>ost leadership strategy.</w:t>
      </w:r>
    </w:p>
    <w:p w14:paraId="2501C965" w14:textId="77777777" w:rsid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Option two, build a plant with alternative technology to diversify product offerings and maximize flexibility</w:t>
      </w:r>
      <w:r>
        <w:rPr>
          <w:rFonts w:ascii="Open Sans" w:hAnsi="Open Sans" w:cs="Open Sans"/>
          <w:sz w:val="24"/>
          <w:szCs w:val="24"/>
        </w:rPr>
        <w:t>, d</w:t>
      </w:r>
      <w:r w:rsidRPr="00C80956">
        <w:rPr>
          <w:rFonts w:ascii="Open Sans" w:hAnsi="Open Sans" w:cs="Open Sans"/>
          <w:sz w:val="24"/>
          <w:szCs w:val="24"/>
        </w:rPr>
        <w:t xml:space="preserve">ifferentiation strategy. </w:t>
      </w:r>
    </w:p>
    <w:p w14:paraId="4D5869EA" w14:textId="7B3B1782" w:rsidR="00C80956" w:rsidRP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There are five possible market scenarios and corresponding investment outcomes for each decision. The decision makers at the renewable energy company are risk averse.</w:t>
      </w:r>
    </w:p>
    <w:p w14:paraId="0C710A47" w14:textId="796FF788" w:rsid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Therefore, an exponential utility function is appropriate for modeling their risk tolerance behavior. The company has a revenue of </w:t>
      </w:r>
      <w:r>
        <w:rPr>
          <w:rFonts w:ascii="Open Sans" w:hAnsi="Open Sans" w:cs="Open Sans"/>
          <w:sz w:val="24"/>
          <w:szCs w:val="24"/>
        </w:rPr>
        <w:t>500 million dollars</w:t>
      </w:r>
      <w:r w:rsidRPr="00C80956">
        <w:rPr>
          <w:rFonts w:ascii="Open Sans" w:hAnsi="Open Sans" w:cs="Open Sans"/>
          <w:sz w:val="24"/>
          <w:szCs w:val="24"/>
        </w:rPr>
        <w:t>. Based on Ronald Howard's empirical relationship, the risk tolerance parameter is R is 6</w:t>
      </w:r>
      <w:r>
        <w:rPr>
          <w:rFonts w:ascii="Open Sans" w:hAnsi="Open Sans" w:cs="Open Sans"/>
          <w:sz w:val="24"/>
          <w:szCs w:val="24"/>
        </w:rPr>
        <w:t>.4%</w:t>
      </w:r>
      <w:r w:rsidRPr="00C80956">
        <w:rPr>
          <w:rFonts w:ascii="Open Sans" w:hAnsi="Open Sans" w:cs="Open Sans"/>
          <w:sz w:val="24"/>
          <w:szCs w:val="24"/>
        </w:rPr>
        <w:t xml:space="preserve"> of the company's revenue. R equals 6.4</w:t>
      </w:r>
      <w:r>
        <w:rPr>
          <w:rFonts w:ascii="Open Sans" w:hAnsi="Open Sans" w:cs="Open Sans"/>
          <w:sz w:val="24"/>
          <w:szCs w:val="24"/>
        </w:rPr>
        <w:t xml:space="preserve">% </w:t>
      </w:r>
      <w:r w:rsidRPr="00C80956">
        <w:rPr>
          <w:rFonts w:ascii="Open Sans" w:hAnsi="Open Sans" w:cs="Open Sans"/>
          <w:sz w:val="24"/>
          <w:szCs w:val="24"/>
        </w:rPr>
        <w:t>times 500</w:t>
      </w:r>
      <w:r>
        <w:rPr>
          <w:rFonts w:ascii="Open Sans" w:hAnsi="Open Sans" w:cs="Open Sans"/>
          <w:sz w:val="24"/>
          <w:szCs w:val="24"/>
        </w:rPr>
        <w:t xml:space="preserve"> million dollars </w:t>
      </w:r>
      <w:r w:rsidRPr="00C80956">
        <w:rPr>
          <w:rFonts w:ascii="Open Sans" w:hAnsi="Open Sans" w:cs="Open Sans"/>
          <w:sz w:val="24"/>
          <w:szCs w:val="24"/>
        </w:rPr>
        <w:t>equals 3</w:t>
      </w:r>
      <w:r w:rsidR="00AB073C">
        <w:rPr>
          <w:rFonts w:ascii="Open Sans" w:hAnsi="Open Sans" w:cs="Open Sans"/>
          <w:sz w:val="24"/>
          <w:szCs w:val="24"/>
        </w:rPr>
        <w:t>2 million dollars.</w:t>
      </w:r>
    </w:p>
    <w:p w14:paraId="1B9B3B57" w14:textId="4C1B183B" w:rsidR="00C80956" w:rsidRDefault="00C80956" w:rsidP="00C80956">
      <w:pPr>
        <w:pStyle w:val="Heading2"/>
        <w:spacing w:before="120" w:line="360" w:lineRule="auto"/>
      </w:pPr>
      <w:r>
        <w:lastRenderedPageBreak/>
        <w:t>Slide #4</w:t>
      </w:r>
      <w:r>
        <w:rPr>
          <w:noProof/>
        </w:rPr>
        <w:drawing>
          <wp:inline distT="0" distB="0" distL="0" distR="0" wp14:anchorId="20926ED6" wp14:editId="026F913C">
            <wp:extent cx="5731510" cy="3199130"/>
            <wp:effectExtent l="0" t="0" r="2540" b="1270"/>
            <wp:docPr id="1779810404" name="Picture 4"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10404" name="Picture 4" descr="Video"/>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3983DAB6" w14:textId="77777777" w:rsidR="00AB073C"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Next, we integrate the risk utility function into the decision tree. This video clip demonstrates how to set up the analytic solver to maximize utility rather than expected value and choose the best course of action accordingly. </w:t>
      </w:r>
    </w:p>
    <w:p w14:paraId="24DC2FF6" w14:textId="77777777" w:rsidR="00AB073C"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Incorporating the utility function into the </w:t>
      </w:r>
      <w:r w:rsidR="00AB073C" w:rsidRPr="00C80956">
        <w:rPr>
          <w:rFonts w:ascii="Open Sans" w:hAnsi="Open Sans" w:cs="Open Sans"/>
          <w:sz w:val="24"/>
          <w:szCs w:val="24"/>
        </w:rPr>
        <w:t>decision-making</w:t>
      </w:r>
      <w:r w:rsidRPr="00C80956">
        <w:rPr>
          <w:rFonts w:ascii="Open Sans" w:hAnsi="Open Sans" w:cs="Open Sans"/>
          <w:sz w:val="24"/>
          <w:szCs w:val="24"/>
        </w:rPr>
        <w:t xml:space="preserve"> tree in Analytics Solver is very straightforward.</w:t>
      </w:r>
    </w:p>
    <w:p w14:paraId="3C1EF571" w14:textId="735F51D9" w:rsidR="00AB073C"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We go to the Solver option and the Model window. Select Platform. Go down the menu. </w:t>
      </w:r>
    </w:p>
    <w:p w14:paraId="7D95DF24" w14:textId="77777777" w:rsidR="00AB073C"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We see Utility Parameter. Change the number to 32</w:t>
      </w:r>
      <w:r w:rsidR="00AB073C">
        <w:rPr>
          <w:rFonts w:ascii="Open Sans" w:hAnsi="Open Sans" w:cs="Open Sans"/>
          <w:sz w:val="24"/>
          <w:szCs w:val="24"/>
        </w:rPr>
        <w:t xml:space="preserve"> million</w:t>
      </w:r>
      <w:r w:rsidRPr="00C80956">
        <w:rPr>
          <w:rFonts w:ascii="Open Sans" w:hAnsi="Open Sans" w:cs="Open Sans"/>
          <w:sz w:val="24"/>
          <w:szCs w:val="24"/>
        </w:rPr>
        <w:t xml:space="preserve">, the number that we picked for the company. </w:t>
      </w:r>
    </w:p>
    <w:p w14:paraId="0632B319" w14:textId="3B8878FA" w:rsidR="00C80956" w:rsidRP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And then we change from expected value to decision function. You notice that the analytic solver automatically updates the decision tree.</w:t>
      </w:r>
    </w:p>
    <w:p w14:paraId="23DB69F0" w14:textId="77777777" w:rsidR="00AB073C"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Replace expected value with certainty equivalent value and the utility numbers.</w:t>
      </w:r>
    </w:p>
    <w:p w14:paraId="144957E3" w14:textId="201013FC" w:rsid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Click highlight the best. The solver chooses the best option for us based on the utility function and the certainty equivalent value rather than expected value.</w:t>
      </w:r>
    </w:p>
    <w:p w14:paraId="675FEAFF" w14:textId="33854874" w:rsidR="00C80956" w:rsidRDefault="00C80956" w:rsidP="00C80956">
      <w:pPr>
        <w:pStyle w:val="Heading2"/>
        <w:spacing w:before="120" w:line="360" w:lineRule="auto"/>
      </w:pPr>
      <w:r>
        <w:lastRenderedPageBreak/>
        <w:t>Slide #5</w:t>
      </w:r>
      <w:r>
        <w:rPr>
          <w:noProof/>
        </w:rPr>
        <w:drawing>
          <wp:inline distT="0" distB="0" distL="0" distR="0" wp14:anchorId="4A970EE4" wp14:editId="7F873E57">
            <wp:extent cx="5731510" cy="3153410"/>
            <wp:effectExtent l="0" t="0" r="2540" b="8890"/>
            <wp:docPr id="1205066083" name="Picture 5" descr="Risk Tole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66083" name="Picture 5" descr="Risk Tolera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53410"/>
                    </a:xfrm>
                    <a:prstGeom prst="rect">
                      <a:avLst/>
                    </a:prstGeom>
                  </pic:spPr>
                </pic:pic>
              </a:graphicData>
            </a:graphic>
          </wp:inline>
        </w:drawing>
      </w:r>
    </w:p>
    <w:p w14:paraId="00CC992E" w14:textId="77777777" w:rsidR="00C80956" w:rsidRP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The decision tree automatically calculates certainty equivalent values of the two options given decision makers risk utility functions.</w:t>
      </w:r>
    </w:p>
    <w:p w14:paraId="33B19234" w14:textId="77777777" w:rsidR="00AB073C"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The best option is highlighted in green color. </w:t>
      </w:r>
    </w:p>
    <w:p w14:paraId="7BA56F63" w14:textId="77777777" w:rsidR="00AB073C"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A </w:t>
      </w:r>
      <w:r w:rsidR="00AB073C" w:rsidRPr="00C80956">
        <w:rPr>
          <w:rFonts w:ascii="Open Sans" w:hAnsi="Open Sans" w:cs="Open Sans"/>
          <w:sz w:val="24"/>
          <w:szCs w:val="24"/>
        </w:rPr>
        <w:t>risk-averse</w:t>
      </w:r>
      <w:r w:rsidRPr="00C80956">
        <w:rPr>
          <w:rFonts w:ascii="Open Sans" w:hAnsi="Open Sans" w:cs="Open Sans"/>
          <w:sz w:val="24"/>
          <w:szCs w:val="24"/>
        </w:rPr>
        <w:t xml:space="preserve"> decision maker would prefer the maximum flexibility solution due to the predictability and stability it offers, although option 1 generates a slightly higher expected value. </w:t>
      </w:r>
    </w:p>
    <w:p w14:paraId="441D33A1" w14:textId="0E15F6B0" w:rsidR="00C80956" w:rsidRP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Also, we include the expected values and the certainty equivalent values of those options in the summary table.</w:t>
      </w:r>
    </w:p>
    <w:p w14:paraId="1E1EB021" w14:textId="77777777" w:rsidR="00AB073C"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The table shows the different perceptions of value between risk averse and risk neutral managers. </w:t>
      </w:r>
    </w:p>
    <w:p w14:paraId="7043A17D" w14:textId="77777777" w:rsidR="00AB073C"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Risk averse managers value the alternative technology for its ability to mitigate losses, in worst case scenarios, adding 1 million </w:t>
      </w:r>
      <w:r w:rsidR="00AB073C">
        <w:rPr>
          <w:rFonts w:ascii="Open Sans" w:hAnsi="Open Sans" w:cs="Open Sans"/>
          <w:sz w:val="24"/>
          <w:szCs w:val="24"/>
        </w:rPr>
        <w:t xml:space="preserve">dollars </w:t>
      </w:r>
      <w:r w:rsidRPr="00C80956">
        <w:rPr>
          <w:rFonts w:ascii="Open Sans" w:hAnsi="Open Sans" w:cs="Open Sans"/>
          <w:sz w:val="24"/>
          <w:szCs w:val="24"/>
        </w:rPr>
        <w:t xml:space="preserve">to its perceived value. </w:t>
      </w:r>
    </w:p>
    <w:p w14:paraId="2F5290FD" w14:textId="4A528500" w:rsidR="00C80956" w:rsidRPr="00C80956" w:rsidRDefault="00C80956"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Conversely, risk neutral managers view flexibility as leading to a 1 million </w:t>
      </w:r>
      <w:r w:rsidR="00AB073C">
        <w:rPr>
          <w:rFonts w:ascii="Open Sans" w:hAnsi="Open Sans" w:cs="Open Sans"/>
          <w:sz w:val="24"/>
          <w:szCs w:val="24"/>
        </w:rPr>
        <w:t xml:space="preserve">dollar </w:t>
      </w:r>
      <w:r w:rsidRPr="00C80956">
        <w:rPr>
          <w:rFonts w:ascii="Open Sans" w:hAnsi="Open Sans" w:cs="Open Sans"/>
          <w:sz w:val="24"/>
          <w:szCs w:val="24"/>
        </w:rPr>
        <w:t>loss due to lower overall returns.</w:t>
      </w:r>
    </w:p>
    <w:p w14:paraId="2219989D" w14:textId="77777777" w:rsidR="00C80956" w:rsidRDefault="00C80956" w:rsidP="00C80956">
      <w:pPr>
        <w:pStyle w:val="Script"/>
        <w:spacing w:before="120" w:after="0" w:line="360" w:lineRule="auto"/>
        <w:rPr>
          <w:rFonts w:ascii="Open Sans" w:hAnsi="Open Sans" w:cs="Open Sans"/>
          <w:sz w:val="24"/>
          <w:szCs w:val="24"/>
        </w:rPr>
      </w:pPr>
    </w:p>
    <w:p w14:paraId="573BFA6D" w14:textId="4BF9A8AE" w:rsidR="00C80956" w:rsidRDefault="00C80956" w:rsidP="00C80956">
      <w:pPr>
        <w:pStyle w:val="Heading2"/>
        <w:spacing w:before="120" w:line="360" w:lineRule="auto"/>
      </w:pPr>
      <w:r>
        <w:lastRenderedPageBreak/>
        <w:t>Slide #6</w:t>
      </w:r>
      <w:r>
        <w:rPr>
          <w:noProof/>
        </w:rPr>
        <w:drawing>
          <wp:inline distT="0" distB="0" distL="0" distR="0" wp14:anchorId="1B297653" wp14:editId="0F3F03F3">
            <wp:extent cx="5731510" cy="3225165"/>
            <wp:effectExtent l="0" t="0" r="2540" b="0"/>
            <wp:docPr id="1075763500" name="Picture 6" descr="The Reality of Human Perception in Data-Driven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63500" name="Picture 6" descr="The Reality of Human Perception in Data-Driven Decision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9B2E425" w14:textId="77777777" w:rsidR="00AB073C" w:rsidRDefault="00000000"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In real world decisions, perception plays a significant and recognizable role. </w:t>
      </w:r>
    </w:p>
    <w:p w14:paraId="4B4A85C3" w14:textId="77777777" w:rsidR="00AB073C" w:rsidRDefault="00000000"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Human judgment, influenced by individual risk tolerance, often determines the perceived value of various options. </w:t>
      </w:r>
    </w:p>
    <w:p w14:paraId="6615D838" w14:textId="3EE7523B" w:rsidR="0020742D" w:rsidRPr="00C80956" w:rsidRDefault="00000000"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While objective analysis provides critical insights, the final decision is shaped by the decision maker's comfort with risk.</w:t>
      </w:r>
    </w:p>
    <w:p w14:paraId="160DED88" w14:textId="77777777" w:rsidR="00AB073C" w:rsidRDefault="00000000"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This integration of human judgment ensures that decisions are not only analytically sound but also align with the decision maker's risk tolerance and strategic goals. </w:t>
      </w:r>
    </w:p>
    <w:p w14:paraId="6F14C11F" w14:textId="4B71E481" w:rsidR="0020742D" w:rsidRPr="00C80956" w:rsidRDefault="00000000"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 xml:space="preserve">By incorporating risk utility functions into decision trees, companies can better balance objective data with subjective preferences, leading to more robust and satisfactory </w:t>
      </w:r>
      <w:r w:rsidR="00AB073C" w:rsidRPr="00C80956">
        <w:rPr>
          <w:rFonts w:ascii="Open Sans" w:hAnsi="Open Sans" w:cs="Open Sans"/>
          <w:sz w:val="24"/>
          <w:szCs w:val="24"/>
        </w:rPr>
        <w:t>decision-making</w:t>
      </w:r>
      <w:r w:rsidRPr="00C80956">
        <w:rPr>
          <w:rFonts w:ascii="Open Sans" w:hAnsi="Open Sans" w:cs="Open Sans"/>
          <w:sz w:val="24"/>
          <w:szCs w:val="24"/>
        </w:rPr>
        <w:t xml:space="preserve"> outcomes.</w:t>
      </w:r>
    </w:p>
    <w:p w14:paraId="0A41A7DE" w14:textId="77777777" w:rsidR="0020742D" w:rsidRPr="00C80956" w:rsidRDefault="00000000" w:rsidP="00C80956">
      <w:pPr>
        <w:pStyle w:val="Script"/>
        <w:spacing w:before="120" w:after="0" w:line="360" w:lineRule="auto"/>
        <w:rPr>
          <w:rFonts w:ascii="Open Sans" w:hAnsi="Open Sans" w:cs="Open Sans"/>
          <w:sz w:val="24"/>
          <w:szCs w:val="24"/>
        </w:rPr>
      </w:pPr>
      <w:r w:rsidRPr="00C80956">
        <w:rPr>
          <w:rFonts w:ascii="Open Sans" w:hAnsi="Open Sans" w:cs="Open Sans"/>
          <w:sz w:val="24"/>
          <w:szCs w:val="24"/>
        </w:rPr>
        <w:t>This approach ensures that the human element, particularly the decision maker's risk perception, is accounted for in the analytical process, thereby enhancing the practical relevance and acceptance of the decisions made.</w:t>
      </w:r>
    </w:p>
    <w:sectPr w:rsidR="0020742D" w:rsidRPr="00C809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1A1BCE"/>
    <w:multiLevelType w:val="hybridMultilevel"/>
    <w:tmpl w:val="A7FE3014"/>
    <w:lvl w:ilvl="0" w:tplc="BFF483FC">
      <w:start w:val="1"/>
      <w:numFmt w:val="bullet"/>
      <w:lvlText w:val="●"/>
      <w:lvlJc w:val="left"/>
      <w:pPr>
        <w:ind w:left="720" w:hanging="360"/>
      </w:pPr>
    </w:lvl>
    <w:lvl w:ilvl="1" w:tplc="C22EF6C0">
      <w:start w:val="1"/>
      <w:numFmt w:val="bullet"/>
      <w:lvlText w:val="○"/>
      <w:lvlJc w:val="left"/>
      <w:pPr>
        <w:ind w:left="1440" w:hanging="360"/>
      </w:pPr>
    </w:lvl>
    <w:lvl w:ilvl="2" w:tplc="A498F932">
      <w:start w:val="1"/>
      <w:numFmt w:val="bullet"/>
      <w:lvlText w:val="■"/>
      <w:lvlJc w:val="left"/>
      <w:pPr>
        <w:ind w:left="2160" w:hanging="360"/>
      </w:pPr>
    </w:lvl>
    <w:lvl w:ilvl="3" w:tplc="B3B01CCA">
      <w:start w:val="1"/>
      <w:numFmt w:val="bullet"/>
      <w:lvlText w:val="●"/>
      <w:lvlJc w:val="left"/>
      <w:pPr>
        <w:ind w:left="2880" w:hanging="360"/>
      </w:pPr>
    </w:lvl>
    <w:lvl w:ilvl="4" w:tplc="B54240EC">
      <w:start w:val="1"/>
      <w:numFmt w:val="bullet"/>
      <w:lvlText w:val="○"/>
      <w:lvlJc w:val="left"/>
      <w:pPr>
        <w:ind w:left="3600" w:hanging="360"/>
      </w:pPr>
    </w:lvl>
    <w:lvl w:ilvl="5" w:tplc="FB7ED84E">
      <w:start w:val="1"/>
      <w:numFmt w:val="bullet"/>
      <w:lvlText w:val="■"/>
      <w:lvlJc w:val="left"/>
      <w:pPr>
        <w:ind w:left="4320" w:hanging="360"/>
      </w:pPr>
    </w:lvl>
    <w:lvl w:ilvl="6" w:tplc="B010F552">
      <w:start w:val="1"/>
      <w:numFmt w:val="bullet"/>
      <w:lvlText w:val="●"/>
      <w:lvlJc w:val="left"/>
      <w:pPr>
        <w:ind w:left="5040" w:hanging="360"/>
      </w:pPr>
    </w:lvl>
    <w:lvl w:ilvl="7" w:tplc="F73EC75E">
      <w:start w:val="1"/>
      <w:numFmt w:val="bullet"/>
      <w:lvlText w:val="●"/>
      <w:lvlJc w:val="left"/>
      <w:pPr>
        <w:ind w:left="5760" w:hanging="360"/>
      </w:pPr>
    </w:lvl>
    <w:lvl w:ilvl="8" w:tplc="E354B87C">
      <w:start w:val="1"/>
      <w:numFmt w:val="bullet"/>
      <w:lvlText w:val="●"/>
      <w:lvlJc w:val="left"/>
      <w:pPr>
        <w:ind w:left="6480" w:hanging="360"/>
      </w:pPr>
    </w:lvl>
  </w:abstractNum>
  <w:num w:numId="1" w16cid:durableId="87565492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42D"/>
    <w:rsid w:val="0020742D"/>
    <w:rsid w:val="00262B43"/>
    <w:rsid w:val="005E3522"/>
    <w:rsid w:val="0094335B"/>
    <w:rsid w:val="00AB073C"/>
    <w:rsid w:val="00C80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4C7F2"/>
  <w15:docId w15:val="{3091BC0B-F14D-4E85-B34B-38EB634EB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C80956"/>
    <w:pPr>
      <w:spacing w:before="120" w:after="260"/>
      <w:jc w:val="center"/>
      <w:outlineLvl w:val="0"/>
    </w:pPr>
    <w:rPr>
      <w:rFonts w:ascii="Open Sans" w:hAnsi="Open Sans"/>
      <w:b/>
      <w:bCs/>
      <w:sz w:val="36"/>
      <w:szCs w:val="48"/>
    </w:rPr>
  </w:style>
  <w:style w:type="paragraph" w:styleId="Heading2">
    <w:name w:val="heading 2"/>
    <w:uiPriority w:val="9"/>
    <w:unhideWhenUsed/>
    <w:qFormat/>
    <w:rsid w:val="00C80956"/>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607</Words>
  <Characters>3463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Biodiesel Business Case with Utility Function</vt:lpstr>
    </vt:vector>
  </TitlesOfParts>
  <Company/>
  <LinksUpToDate>false</LinksUpToDate>
  <CharactersWithSpaces>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Biodiesel Business Case with Utility Function</dc:title>
  <dc:creator>Un-named</dc:creator>
  <cp:lastModifiedBy>Williams, Elisabeth G</cp:lastModifiedBy>
  <cp:revision>2</cp:revision>
  <cp:lastPrinted>2024-07-26T22:22:00Z</cp:lastPrinted>
  <dcterms:created xsi:type="dcterms:W3CDTF">2024-07-26T22:23:00Z</dcterms:created>
  <dcterms:modified xsi:type="dcterms:W3CDTF">2024-07-26T22:23:00Z</dcterms:modified>
</cp:coreProperties>
</file>